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C534A" w14:textId="2F76DA18" w:rsidR="00F85FBF" w:rsidRPr="004F163F" w:rsidRDefault="004F163F" w:rsidP="004F163F">
      <w:pPr>
        <w:jc w:val="center"/>
        <w:rPr>
          <w:b/>
          <w:bCs/>
        </w:rPr>
      </w:pPr>
      <w:r w:rsidRPr="004F163F">
        <w:rPr>
          <w:b/>
          <w:bCs/>
        </w:rPr>
        <w:t>TITRES EXECUTOIRES</w:t>
      </w:r>
      <w:r>
        <w:rPr>
          <w:b/>
          <w:bCs/>
        </w:rPr>
        <w:t xml:space="preserve"> – Article L 111-3 CPCE</w:t>
      </w:r>
    </w:p>
    <w:p w14:paraId="3FA63545" w14:textId="66566BC2" w:rsidR="004F163F" w:rsidRDefault="004F163F"/>
    <w:p w14:paraId="5F29EB6B" w14:textId="35144D57" w:rsidR="004F163F" w:rsidRDefault="004F163F" w:rsidP="004F163F">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rPr>
        <w:t>onstituent des titres exécutoires :</w:t>
      </w:r>
    </w:p>
    <w:p w14:paraId="6639635A" w14:textId="77777777" w:rsidR="004F163F" w:rsidRDefault="004F163F" w:rsidP="004F163F">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1° Les décisions des juridictions de l'ordre judiciaire ou de l'ordre administratif lorsqu'elles ont force exécutoire, ainsi que les accords auxquels ces juridictions ont conféré force exécutoire ;</w:t>
      </w:r>
    </w:p>
    <w:p w14:paraId="42A55AB9" w14:textId="77777777" w:rsidR="004F163F" w:rsidRDefault="004F163F" w:rsidP="004F163F">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2° Les actes et les jugements étrangers ainsi que les sentences arbitrales déclarés exécutoires par une décision non susceptible d'un recours suspensif d'exécution, sans préjudice des dispositions du droit de l'Union européenne applicables ;</w:t>
      </w:r>
    </w:p>
    <w:p w14:paraId="5C963BAE" w14:textId="77777777" w:rsidR="004F163F" w:rsidRDefault="004F163F" w:rsidP="004F163F">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3° Les extraits de procès-verbaux de conciliation signés par le juge et les parties ;</w:t>
      </w:r>
    </w:p>
    <w:p w14:paraId="0A7C5F33" w14:textId="77777777" w:rsidR="004F163F" w:rsidRDefault="004F163F" w:rsidP="004F163F">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4° Les actes notariés revêtus de la formule exécutoire ;</w:t>
      </w:r>
    </w:p>
    <w:p w14:paraId="605CEAF6" w14:textId="77777777" w:rsidR="004F163F" w:rsidRDefault="004F163F" w:rsidP="004F163F">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4° bis Les accords par lesquels les époux consentent mutuellement à leur divorce ou à leur séparation de corps par acte sous signature privée contresigné par avocats, déposés au rang des minutes d'un notaire selon les modalités prévues à l'article 229-1 du code civil ;</w:t>
      </w:r>
    </w:p>
    <w:p w14:paraId="67AECB7D" w14:textId="37562D27" w:rsidR="004F163F" w:rsidRDefault="004F163F" w:rsidP="004F163F">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 xml:space="preserve">5° Le titre délivré par l'huissier de justice en cas de non-paiement d'un </w:t>
      </w:r>
      <w:r>
        <w:rPr>
          <w:rFonts w:ascii="Arial" w:hAnsi="Arial" w:cs="Arial"/>
          <w:color w:val="000000"/>
          <w:sz w:val="21"/>
          <w:szCs w:val="21"/>
        </w:rPr>
        <w:t xml:space="preserve">chèque (sans provision + Procédure CNP) </w:t>
      </w:r>
      <w:r>
        <w:rPr>
          <w:rFonts w:ascii="Arial" w:hAnsi="Arial" w:cs="Arial"/>
          <w:color w:val="000000"/>
          <w:sz w:val="21"/>
          <w:szCs w:val="21"/>
        </w:rPr>
        <w:t>ou en cas d'accord entre le créancier et le débiteur dans les conditions prévues à </w:t>
      </w:r>
      <w:hyperlink r:id="rId6" w:history="1">
        <w:r>
          <w:rPr>
            <w:rStyle w:val="Lienhypertexte"/>
            <w:rFonts w:ascii="Arial" w:hAnsi="Arial" w:cs="Arial"/>
            <w:color w:val="4A5E81"/>
            <w:sz w:val="21"/>
            <w:szCs w:val="21"/>
          </w:rPr>
          <w:t>l'article L. 125-1</w:t>
        </w:r>
      </w:hyperlink>
      <w:r>
        <w:rPr>
          <w:rFonts w:ascii="Arial" w:hAnsi="Arial" w:cs="Arial"/>
          <w:color w:val="000000"/>
          <w:sz w:val="21"/>
          <w:szCs w:val="21"/>
        </w:rPr>
        <w:t xml:space="preserve"> (petites créances de 4000 €)</w:t>
      </w:r>
      <w:r>
        <w:rPr>
          <w:rFonts w:ascii="Arial" w:hAnsi="Arial" w:cs="Arial"/>
          <w:color w:val="000000"/>
          <w:sz w:val="21"/>
          <w:szCs w:val="21"/>
        </w:rPr>
        <w:t> ;</w:t>
      </w:r>
    </w:p>
    <w:p w14:paraId="37C1585F" w14:textId="31039088" w:rsidR="004F163F" w:rsidRDefault="004F163F" w:rsidP="004F163F">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6° Les titres délivrés par les personnes morales de droit public qualifiés comme tels par la loi, ou les décisions auxquelles la loi attache les effets d'un jugement</w:t>
      </w:r>
      <w:r>
        <w:rPr>
          <w:rFonts w:ascii="Arial" w:hAnsi="Arial" w:cs="Arial"/>
          <w:color w:val="000000"/>
          <w:sz w:val="21"/>
          <w:szCs w:val="21"/>
        </w:rPr>
        <w:t> : Contraintes sociales, AMR &amp; Rôles fiscaux</w:t>
      </w:r>
      <w:r>
        <w:rPr>
          <w:rFonts w:ascii="Arial" w:hAnsi="Arial" w:cs="Arial"/>
          <w:color w:val="000000"/>
          <w:sz w:val="21"/>
          <w:szCs w:val="21"/>
        </w:rPr>
        <w:t>.</w:t>
      </w:r>
    </w:p>
    <w:p w14:paraId="1C70ED8F" w14:textId="07E9A934" w:rsidR="004F163F" w:rsidRDefault="004F163F"/>
    <w:p w14:paraId="2A0CEC96" w14:textId="4CDCEEEA" w:rsidR="004F163F" w:rsidRDefault="004F163F"/>
    <w:p w14:paraId="3643CD42" w14:textId="77777777" w:rsidR="004F163F" w:rsidRDefault="004F163F" w:rsidP="004F163F">
      <w:pPr>
        <w:jc w:val="center"/>
        <w:rPr>
          <w:b/>
          <w:bCs/>
        </w:rPr>
      </w:pPr>
      <w:r w:rsidRPr="004F163F">
        <w:rPr>
          <w:b/>
          <w:bCs/>
        </w:rPr>
        <w:t xml:space="preserve">DUREE D’EXECUTION </w:t>
      </w:r>
    </w:p>
    <w:p w14:paraId="6AE191D5" w14:textId="77777777" w:rsidR="004F163F" w:rsidRDefault="004F163F" w:rsidP="004F163F">
      <w:pPr>
        <w:jc w:val="center"/>
        <w:rPr>
          <w:b/>
          <w:bCs/>
        </w:rPr>
      </w:pPr>
    </w:p>
    <w:p w14:paraId="52C6583B" w14:textId="62261ADE" w:rsidR="004F163F" w:rsidRPr="004F163F" w:rsidRDefault="004F163F" w:rsidP="004F163F">
      <w:pPr>
        <w:jc w:val="center"/>
        <w:rPr>
          <w:b/>
          <w:bCs/>
        </w:rPr>
      </w:pPr>
      <w:r w:rsidRPr="004F163F">
        <w:rPr>
          <w:b/>
          <w:bCs/>
        </w:rPr>
        <w:t>– Article L 111-4</w:t>
      </w:r>
      <w:r>
        <w:rPr>
          <w:b/>
          <w:bCs/>
        </w:rPr>
        <w:t xml:space="preserve"> CPCE</w:t>
      </w:r>
    </w:p>
    <w:p w14:paraId="2C116207" w14:textId="31EA7020" w:rsidR="004F163F" w:rsidRDefault="004F163F"/>
    <w:p w14:paraId="0E3459AC" w14:textId="77E3A733" w:rsidR="004F163F" w:rsidRDefault="004F163F" w:rsidP="004F163F">
      <w:pPr>
        <w:pStyle w:val="NormalWeb"/>
        <w:shd w:val="clear" w:color="auto" w:fill="FFFFFF"/>
        <w:spacing w:before="0" w:beforeAutospacing="0" w:after="240" w:afterAutospacing="0"/>
        <w:rPr>
          <w:rFonts w:ascii="Arial" w:hAnsi="Arial" w:cs="Arial"/>
          <w:color w:val="000000"/>
          <w:sz w:val="21"/>
          <w:szCs w:val="21"/>
          <w:shd w:val="clear" w:color="auto" w:fill="FFFFFF"/>
        </w:rPr>
      </w:pPr>
      <w:r>
        <w:rPr>
          <w:rFonts w:ascii="Arial" w:hAnsi="Arial" w:cs="Arial"/>
          <w:color w:val="000000"/>
          <w:sz w:val="21"/>
          <w:szCs w:val="21"/>
        </w:rPr>
        <w:br/>
        <w:t>L'exécution des titres exécutoires mentionnés aux 1° à 3° de </w:t>
      </w:r>
      <w:hyperlink r:id="rId7" w:tooltip="Code des procédures civiles d" w:history="1">
        <w:r>
          <w:rPr>
            <w:rStyle w:val="Lienhypertexte"/>
            <w:rFonts w:ascii="Arial" w:hAnsi="Arial" w:cs="Arial"/>
            <w:color w:val="4A5E81"/>
            <w:sz w:val="21"/>
            <w:szCs w:val="21"/>
          </w:rPr>
          <w:t>l'article L. 111-3</w:t>
        </w:r>
      </w:hyperlink>
      <w:r>
        <w:rPr>
          <w:rFonts w:ascii="Arial" w:hAnsi="Arial" w:cs="Arial"/>
          <w:color w:val="000000"/>
          <w:sz w:val="21"/>
          <w:szCs w:val="21"/>
        </w:rPr>
        <w:t> ne peut être poursuivie que pendant dix ans, sauf si les actions en recouvrement des</w:t>
      </w:r>
      <w:r>
        <w:rPr>
          <w:rFonts w:ascii="Arial" w:hAnsi="Arial" w:cs="Arial"/>
          <w:color w:val="000000"/>
          <w:sz w:val="21"/>
          <w:szCs w:val="21"/>
        </w:rPr>
        <w:t xml:space="preserve"> </w:t>
      </w:r>
      <w:r>
        <w:rPr>
          <w:rFonts w:ascii="Arial" w:hAnsi="Arial" w:cs="Arial"/>
          <w:color w:val="000000"/>
          <w:sz w:val="21"/>
          <w:szCs w:val="21"/>
          <w:shd w:val="clear" w:color="auto" w:fill="FFFFFF"/>
        </w:rPr>
        <w:t>sauf si les actions en recouvrement des créances qui y sont constatées se prescrivent par un délai plus long.</w:t>
      </w:r>
      <w:r>
        <w:rPr>
          <w:rFonts w:ascii="Arial" w:hAnsi="Arial" w:cs="Arial"/>
          <w:color w:val="000000"/>
          <w:sz w:val="21"/>
          <w:szCs w:val="21"/>
        </w:rPr>
        <w:br/>
      </w:r>
      <w:r>
        <w:rPr>
          <w:rFonts w:ascii="Arial" w:hAnsi="Arial" w:cs="Arial"/>
          <w:color w:val="000000"/>
          <w:sz w:val="21"/>
          <w:szCs w:val="21"/>
          <w:shd w:val="clear" w:color="auto" w:fill="FFFFFF"/>
        </w:rPr>
        <w:t>Le délai mentionné à l'</w:t>
      </w:r>
      <w:hyperlink r:id="rId8" w:history="1">
        <w:r>
          <w:rPr>
            <w:rStyle w:val="Lienhypertexte"/>
            <w:rFonts w:ascii="Arial" w:hAnsi="Arial" w:cs="Arial"/>
            <w:color w:val="2E3B50"/>
            <w:sz w:val="21"/>
            <w:szCs w:val="21"/>
            <w:u w:val="none"/>
            <w:shd w:val="clear" w:color="auto" w:fill="FFFFFF"/>
          </w:rPr>
          <w:t>article 2232 du code civil </w:t>
        </w:r>
      </w:hyperlink>
      <w:r>
        <w:rPr>
          <w:rFonts w:ascii="Arial" w:hAnsi="Arial" w:cs="Arial"/>
          <w:color w:val="000000"/>
          <w:sz w:val="21"/>
          <w:szCs w:val="21"/>
          <w:shd w:val="clear" w:color="auto" w:fill="FFFFFF"/>
        </w:rPr>
        <w:t>n'est pas applicable dans le cas prévu au premier alinéa.</w:t>
      </w:r>
    </w:p>
    <w:p w14:paraId="73924D08" w14:textId="4EA20F56" w:rsidR="004F163F" w:rsidRDefault="004F163F" w:rsidP="004F163F">
      <w:pPr>
        <w:pStyle w:val="NormalWeb"/>
        <w:shd w:val="clear" w:color="auto" w:fill="FFFFFF"/>
        <w:spacing w:before="0" w:beforeAutospacing="0" w:after="240" w:afterAutospacing="0"/>
        <w:rPr>
          <w:rFonts w:ascii="Arial" w:hAnsi="Arial" w:cs="Arial"/>
          <w:color w:val="000000"/>
          <w:sz w:val="21"/>
          <w:szCs w:val="21"/>
          <w:shd w:val="clear" w:color="auto" w:fill="FFFFFF"/>
        </w:rPr>
      </w:pPr>
    </w:p>
    <w:p w14:paraId="380620BB" w14:textId="53DB59B1" w:rsidR="004F163F" w:rsidRPr="004F163F" w:rsidRDefault="004F163F" w:rsidP="004F163F">
      <w:pPr>
        <w:pStyle w:val="Paragraphedeliste"/>
        <w:numPr>
          <w:ilvl w:val="0"/>
          <w:numId w:val="1"/>
        </w:numPr>
        <w:shd w:val="clear" w:color="auto" w:fill="FFFFFF"/>
        <w:spacing w:after="120" w:line="240" w:lineRule="auto"/>
        <w:outlineLvl w:val="1"/>
        <w:rPr>
          <w:rFonts w:ascii="Arial" w:eastAsia="Times New Roman" w:hAnsi="Arial" w:cs="Arial"/>
          <w:b/>
          <w:bCs/>
          <w:color w:val="4A5E81"/>
          <w:sz w:val="21"/>
          <w:szCs w:val="21"/>
          <w:lang w:eastAsia="fr-FR"/>
        </w:rPr>
      </w:pPr>
      <w:r w:rsidRPr="004F163F">
        <w:rPr>
          <w:rFonts w:ascii="Arial" w:eastAsia="Times New Roman" w:hAnsi="Arial" w:cs="Arial"/>
          <w:b/>
          <w:bCs/>
          <w:color w:val="4A5E81"/>
          <w:sz w:val="21"/>
          <w:szCs w:val="21"/>
          <w:lang w:eastAsia="fr-FR"/>
        </w:rPr>
        <w:t>Article 2232</w:t>
      </w:r>
      <w:r w:rsidRPr="004F163F">
        <w:rPr>
          <w:rFonts w:ascii="Arial" w:eastAsia="Times New Roman" w:hAnsi="Arial" w:cs="Arial"/>
          <w:b/>
          <w:bCs/>
          <w:color w:val="4A5E81"/>
          <w:sz w:val="21"/>
          <w:szCs w:val="21"/>
          <w:lang w:eastAsia="fr-FR"/>
        </w:rPr>
        <w:t xml:space="preserve"> Code Civil</w:t>
      </w:r>
    </w:p>
    <w:p w14:paraId="06508047" w14:textId="77777777" w:rsidR="004F163F" w:rsidRPr="004F163F" w:rsidRDefault="004F163F" w:rsidP="004F163F">
      <w:pPr>
        <w:shd w:val="clear" w:color="auto" w:fill="FFFFFF"/>
        <w:spacing w:after="240" w:line="240" w:lineRule="auto"/>
        <w:rPr>
          <w:rFonts w:ascii="Arial" w:eastAsia="Times New Roman" w:hAnsi="Arial" w:cs="Arial"/>
          <w:color w:val="000000"/>
          <w:sz w:val="21"/>
          <w:szCs w:val="21"/>
          <w:lang w:eastAsia="fr-FR"/>
        </w:rPr>
      </w:pPr>
      <w:r w:rsidRPr="004F163F">
        <w:rPr>
          <w:rFonts w:ascii="Arial" w:eastAsia="Times New Roman" w:hAnsi="Arial" w:cs="Arial"/>
          <w:color w:val="000000"/>
          <w:sz w:val="21"/>
          <w:szCs w:val="21"/>
          <w:lang w:eastAsia="fr-FR"/>
        </w:rPr>
        <w:t>Le report du point de départ, la suspension ou l'interruption de la prescription ne peut avoir pour effet de porter le délai de la prescription extinctive au-delà de vingt ans à compter du jour de la naissance du droit.</w:t>
      </w:r>
    </w:p>
    <w:p w14:paraId="09DC3D57" w14:textId="52F848F7" w:rsidR="004F163F" w:rsidRDefault="004F163F" w:rsidP="004F163F">
      <w:pPr>
        <w:shd w:val="clear" w:color="auto" w:fill="FFFFFF"/>
        <w:spacing w:after="240" w:line="240" w:lineRule="auto"/>
      </w:pPr>
      <w:r w:rsidRPr="004F163F">
        <w:rPr>
          <w:rFonts w:ascii="Arial" w:eastAsia="Times New Roman" w:hAnsi="Arial" w:cs="Arial"/>
          <w:color w:val="000000"/>
          <w:sz w:val="21"/>
          <w:szCs w:val="21"/>
          <w:lang w:eastAsia="fr-FR"/>
        </w:rPr>
        <w:t>Le premier alinéa n'est pas applicable dans les cas mentionnés aux </w:t>
      </w:r>
      <w:hyperlink r:id="rId9" w:history="1">
        <w:r w:rsidRPr="004F163F">
          <w:rPr>
            <w:rFonts w:ascii="Arial" w:eastAsia="Times New Roman" w:hAnsi="Arial" w:cs="Arial"/>
            <w:color w:val="4A5E81"/>
            <w:sz w:val="21"/>
            <w:szCs w:val="21"/>
            <w:u w:val="single"/>
            <w:lang w:eastAsia="fr-FR"/>
          </w:rPr>
          <w:t>articles 2226, 2226-1, </w:t>
        </w:r>
      </w:hyperlink>
      <w:hyperlink r:id="rId10" w:history="1">
        <w:r w:rsidRPr="004F163F">
          <w:rPr>
            <w:rFonts w:ascii="Arial" w:eastAsia="Times New Roman" w:hAnsi="Arial" w:cs="Arial"/>
            <w:color w:val="4A5E81"/>
            <w:sz w:val="21"/>
            <w:szCs w:val="21"/>
            <w:u w:val="single"/>
            <w:lang w:eastAsia="fr-FR"/>
          </w:rPr>
          <w:t>2227</w:t>
        </w:r>
      </w:hyperlink>
      <w:r w:rsidRPr="004F163F">
        <w:rPr>
          <w:rFonts w:ascii="Arial" w:eastAsia="Times New Roman" w:hAnsi="Arial" w:cs="Arial"/>
          <w:color w:val="000000"/>
          <w:sz w:val="21"/>
          <w:szCs w:val="21"/>
          <w:lang w:eastAsia="fr-FR"/>
        </w:rPr>
        <w:t>, </w:t>
      </w:r>
      <w:hyperlink r:id="rId11" w:history="1">
        <w:r w:rsidRPr="004F163F">
          <w:rPr>
            <w:rFonts w:ascii="Arial" w:eastAsia="Times New Roman" w:hAnsi="Arial" w:cs="Arial"/>
            <w:color w:val="4A5E81"/>
            <w:sz w:val="21"/>
            <w:szCs w:val="21"/>
            <w:u w:val="single"/>
            <w:lang w:eastAsia="fr-FR"/>
          </w:rPr>
          <w:t>2233 </w:t>
        </w:r>
      </w:hyperlink>
      <w:r w:rsidRPr="004F163F">
        <w:rPr>
          <w:rFonts w:ascii="Arial" w:eastAsia="Times New Roman" w:hAnsi="Arial" w:cs="Arial"/>
          <w:color w:val="000000"/>
          <w:sz w:val="21"/>
          <w:szCs w:val="21"/>
          <w:lang w:eastAsia="fr-FR"/>
        </w:rPr>
        <w:t>et </w:t>
      </w:r>
      <w:hyperlink r:id="rId12" w:history="1">
        <w:r w:rsidRPr="004F163F">
          <w:rPr>
            <w:rFonts w:ascii="Arial" w:eastAsia="Times New Roman" w:hAnsi="Arial" w:cs="Arial"/>
            <w:color w:val="4A5E81"/>
            <w:sz w:val="21"/>
            <w:szCs w:val="21"/>
            <w:u w:val="single"/>
            <w:lang w:eastAsia="fr-FR"/>
          </w:rPr>
          <w:t>2236, </w:t>
        </w:r>
      </w:hyperlink>
      <w:r w:rsidRPr="004F163F">
        <w:rPr>
          <w:rFonts w:ascii="Arial" w:eastAsia="Times New Roman" w:hAnsi="Arial" w:cs="Arial"/>
          <w:color w:val="000000"/>
          <w:sz w:val="21"/>
          <w:szCs w:val="21"/>
          <w:lang w:eastAsia="fr-FR"/>
        </w:rPr>
        <w:t>au premier alinéa de </w:t>
      </w:r>
      <w:hyperlink r:id="rId13" w:history="1">
        <w:r w:rsidRPr="004F163F">
          <w:rPr>
            <w:rFonts w:ascii="Arial" w:eastAsia="Times New Roman" w:hAnsi="Arial" w:cs="Arial"/>
            <w:color w:val="4A5E81"/>
            <w:sz w:val="21"/>
            <w:szCs w:val="21"/>
            <w:u w:val="single"/>
            <w:lang w:eastAsia="fr-FR"/>
          </w:rPr>
          <w:t>l'article 2241 </w:t>
        </w:r>
      </w:hyperlink>
      <w:r w:rsidRPr="004F163F">
        <w:rPr>
          <w:rFonts w:ascii="Arial" w:eastAsia="Times New Roman" w:hAnsi="Arial" w:cs="Arial"/>
          <w:color w:val="000000"/>
          <w:sz w:val="21"/>
          <w:szCs w:val="21"/>
          <w:lang w:eastAsia="fr-FR"/>
        </w:rPr>
        <w:t>et à </w:t>
      </w:r>
      <w:hyperlink r:id="rId14" w:history="1">
        <w:r w:rsidRPr="004F163F">
          <w:rPr>
            <w:rFonts w:ascii="Arial" w:eastAsia="Times New Roman" w:hAnsi="Arial" w:cs="Arial"/>
            <w:color w:val="4A5E81"/>
            <w:sz w:val="21"/>
            <w:szCs w:val="21"/>
            <w:u w:val="single"/>
            <w:lang w:eastAsia="fr-FR"/>
          </w:rPr>
          <w:t>l'article 2244</w:t>
        </w:r>
      </w:hyperlink>
      <w:r w:rsidRPr="004F163F">
        <w:rPr>
          <w:rFonts w:ascii="Arial" w:eastAsia="Times New Roman" w:hAnsi="Arial" w:cs="Arial"/>
          <w:color w:val="000000"/>
          <w:sz w:val="21"/>
          <w:szCs w:val="21"/>
          <w:lang w:eastAsia="fr-FR"/>
        </w:rPr>
        <w:t>. Il ne s'applique pas non plus aux actions relatives à l'état des personnes.</w:t>
      </w:r>
    </w:p>
    <w:sectPr w:rsidR="004F1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544A1"/>
    <w:multiLevelType w:val="hybridMultilevel"/>
    <w:tmpl w:val="345031D4"/>
    <w:lvl w:ilvl="0" w:tplc="72DCD3C8">
      <w:start w:val="2232"/>
      <w:numFmt w:val="bullet"/>
      <w:lvlText w:val="-"/>
      <w:lvlJc w:val="left"/>
      <w:pPr>
        <w:ind w:left="3900" w:hanging="360"/>
      </w:pPr>
      <w:rPr>
        <w:rFonts w:ascii="Arial" w:eastAsia="Times New Roman" w:hAnsi="Arial"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3F"/>
    <w:rsid w:val="004F163F"/>
    <w:rsid w:val="00F85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F151"/>
  <w15:chartTrackingRefBased/>
  <w15:docId w15:val="{1746F795-AC47-468E-9821-9B4063B6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F163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4F163F"/>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F16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F163F"/>
    <w:rPr>
      <w:color w:val="0000FF"/>
      <w:u w:val="single"/>
    </w:rPr>
  </w:style>
  <w:style w:type="paragraph" w:customStyle="1" w:styleId="name-article">
    <w:name w:val="name-article"/>
    <w:basedOn w:val="Normal"/>
    <w:rsid w:val="004F163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
    <w:name w:val="date"/>
    <w:basedOn w:val="Normal"/>
    <w:rsid w:val="004F16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4F163F"/>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4F163F"/>
    <w:rPr>
      <w:rFonts w:ascii="Times New Roman" w:eastAsia="Times New Roman" w:hAnsi="Times New Roman" w:cs="Times New Roman"/>
      <w:b/>
      <w:bCs/>
      <w:sz w:val="15"/>
      <w:szCs w:val="15"/>
      <w:lang w:eastAsia="fr-FR"/>
    </w:rPr>
  </w:style>
  <w:style w:type="paragraph" w:styleId="Paragraphedeliste">
    <w:name w:val="List Paragraph"/>
    <w:basedOn w:val="Normal"/>
    <w:uiPriority w:val="34"/>
    <w:qFormat/>
    <w:rsid w:val="004F1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3496">
      <w:bodyDiv w:val="1"/>
      <w:marLeft w:val="0"/>
      <w:marRight w:val="0"/>
      <w:marTop w:val="0"/>
      <w:marBottom w:val="0"/>
      <w:divBdr>
        <w:top w:val="none" w:sz="0" w:space="0" w:color="auto"/>
        <w:left w:val="none" w:sz="0" w:space="0" w:color="auto"/>
        <w:bottom w:val="none" w:sz="0" w:space="0" w:color="auto"/>
        <w:right w:val="none" w:sz="0" w:space="0" w:color="auto"/>
      </w:divBdr>
    </w:div>
    <w:div w:id="156700586">
      <w:bodyDiv w:val="1"/>
      <w:marLeft w:val="0"/>
      <w:marRight w:val="0"/>
      <w:marTop w:val="0"/>
      <w:marBottom w:val="0"/>
      <w:divBdr>
        <w:top w:val="none" w:sz="0" w:space="0" w:color="auto"/>
        <w:left w:val="none" w:sz="0" w:space="0" w:color="auto"/>
        <w:bottom w:val="none" w:sz="0" w:space="0" w:color="auto"/>
        <w:right w:val="none" w:sz="0" w:space="0" w:color="auto"/>
      </w:divBdr>
    </w:div>
    <w:div w:id="816996956">
      <w:bodyDiv w:val="1"/>
      <w:marLeft w:val="0"/>
      <w:marRight w:val="0"/>
      <w:marTop w:val="0"/>
      <w:marBottom w:val="0"/>
      <w:divBdr>
        <w:top w:val="none" w:sz="0" w:space="0" w:color="auto"/>
        <w:left w:val="none" w:sz="0" w:space="0" w:color="auto"/>
        <w:bottom w:val="none" w:sz="0" w:space="0" w:color="auto"/>
        <w:right w:val="none" w:sz="0" w:space="0" w:color="auto"/>
      </w:divBdr>
      <w:divsChild>
        <w:div w:id="1442989608">
          <w:marLeft w:val="0"/>
          <w:marRight w:val="0"/>
          <w:marTop w:val="0"/>
          <w:marBottom w:val="0"/>
          <w:divBdr>
            <w:top w:val="none" w:sz="0" w:space="0" w:color="auto"/>
            <w:left w:val="none" w:sz="0" w:space="0" w:color="auto"/>
            <w:bottom w:val="none" w:sz="0" w:space="0" w:color="auto"/>
            <w:right w:val="none" w:sz="0" w:space="0" w:color="auto"/>
          </w:divBdr>
        </w:div>
        <w:div w:id="2216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21&amp;idArticle=LEGIARTI000006447405&amp;dateTexte=&amp;categorieLien=cid" TargetMode="External"/><Relationship Id="rId13" Type="http://schemas.openxmlformats.org/officeDocument/2006/relationships/hyperlink" Target="https://www.legifrance.gouv.fr/affichCodeArticle.do?cidTexte=LEGITEXT000006070721&amp;idArticle=LEGIARTI000006447497&amp;dateTexte=&amp;categorieLien=cid" TargetMode="External"/><Relationship Id="rId3" Type="http://schemas.openxmlformats.org/officeDocument/2006/relationships/styles" Target="styles.xml"/><Relationship Id="rId7" Type="http://schemas.openxmlformats.org/officeDocument/2006/relationships/hyperlink" Target="https://www.legifrance.gouv.fr/affichCodeArticle.do?cidTexte=LEGITEXT000025024948&amp;idArticle=LEGIARTI000025025646&amp;dateTexte=&amp;categorieLien=cid" TargetMode="External"/><Relationship Id="rId12" Type="http://schemas.openxmlformats.org/officeDocument/2006/relationships/hyperlink" Target="https://www.legifrance.gouv.fr/affichCodeArticle.do?cidTexte=LEGITEXT000006070721&amp;idArticle=LEGIARTI000006447452&amp;dateTexte=&amp;categorieLien=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egifrance.gouv.fr/affichCodeArticle.do?cidTexte=LEGITEXT000025024948&amp;idArticle=LEGIARTI000032009727&amp;dateTexte=&amp;categorieLien=cid" TargetMode="External"/><Relationship Id="rId11" Type="http://schemas.openxmlformats.org/officeDocument/2006/relationships/hyperlink" Target="https://www.legifrance.gouv.fr/affichCodeArticle.do?cidTexte=LEGITEXT000006070721&amp;idArticle=LEGIARTI000006447415&amp;dateTexte=&amp;categorieLien=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CodeArticle.do?cidTexte=LEGITEXT000006070721&amp;idArticle=LEGIARTI000006447349&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0721&amp;idArticle=LEGIARTI000006447341&amp;dateTexte=&amp;categorieLien=cid" TargetMode="External"/><Relationship Id="rId14" Type="http://schemas.openxmlformats.org/officeDocument/2006/relationships/hyperlink" Target="https://www.legifrance.gouv.fr/affichCodeArticle.do?cidTexte=LEGITEXT000006070721&amp;idArticle=LEGIARTI000006447598&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p:additionalData xmlns:ap="http://schemas.microsoft.com/fiducial/additionalproperties"/>
</file>

<file path=customXml/itemProps1.xml><?xml version="1.0" encoding="utf-8"?>
<ds:datastoreItem xmlns:ds="http://schemas.openxmlformats.org/officeDocument/2006/customXml" ds:itemID="{5A245524-85B4-4C29-97FC-0E253742877B}">
  <ds:schemaRefs>
    <ds:schemaRef ds:uri="http://schemas.microsoft.com/fiducial/additional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579</Words>
  <Characters>3187</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DESZCZ</dc:creator>
  <cp:keywords/>
  <dc:description/>
  <cp:lastModifiedBy>BRUNO DESZCZ</cp:lastModifiedBy>
  <cp:revision>1</cp:revision>
  <dcterms:created xsi:type="dcterms:W3CDTF">2021-10-27T16:32:00Z</dcterms:created>
  <dcterms:modified xsi:type="dcterms:W3CDTF">2021-10-27T16:55:00Z</dcterms:modified>
</cp:coreProperties>
</file>